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adjustRightInd w:val="0"/>
        <w:snapToGrid w:val="0"/>
        <w:spacing w:line="578" w:lineRule="exact"/>
        <w:rPr>
          <w:rFonts w:hint="eastAsia" w:ascii="仿宋_GB2312" w:hAnsi="仿宋_GB2312" w:eastAsia="仿宋_GB2312" w:cs="FangSong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FangSong_GB2312"/>
          <w:bCs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FangSong_GB2312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FangSong_GB2312"/>
          <w:bCs/>
          <w:kern w:val="2"/>
          <w:sz w:val="32"/>
          <w:szCs w:val="32"/>
        </w:rPr>
        <w:t>：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578" w:lineRule="exact"/>
        <w:jc w:val="center"/>
        <w:rPr>
          <w:rFonts w:hint="eastAsia" w:ascii="仿宋_GB2312" w:hAnsi="仿宋_GB2312" w:eastAsia="仿宋_GB2312" w:cs="FangSong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FangSong_GB2312"/>
          <w:b/>
          <w:kern w:val="2"/>
          <w:sz w:val="32"/>
          <w:szCs w:val="32"/>
        </w:rPr>
        <w:t>宁波市2019年</w:t>
      </w:r>
      <w:r>
        <w:rPr>
          <w:rFonts w:hint="eastAsia" w:ascii="仿宋_GB2312" w:hAnsi="仿宋_GB2312" w:eastAsia="仿宋_GB2312" w:cs="FangSong_GB2312"/>
          <w:b/>
          <w:kern w:val="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FangSong_GB2312"/>
          <w:b/>
          <w:kern w:val="2"/>
          <w:sz w:val="32"/>
          <w:szCs w:val="32"/>
        </w:rPr>
        <w:t>“美丽水乡”名单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（排名不分先后）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海曙区：章水镇、鄞江镇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鄞州区：云龙镇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镇海区：澥浦镇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北仑区：春晓街道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奉化区：江口街道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余姚市：黄家埠镇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慈溪市：长河镇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宁海县：胡陈乡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高新区：梅墟街道</w:t>
      </w: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pStyle w:val="4"/>
      <w:suff w:val="nothing"/>
      <w:lvlText w:val="%1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1298"/>
    <w:rsid w:val="71B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字母编号列项（一级）"/>
    <w:uiPriority w:val="0"/>
    <w:pPr>
      <w:numPr>
        <w:ilvl w:val="0"/>
        <w:numId w:val="1"/>
      </w:numPr>
      <w:tabs>
        <w:tab w:val="left" w:pos="840"/>
      </w:tabs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2020-01-19T08:16:00Z</dcterms:created>
  <dc:creator>Administrator</dc:creator>
  <cp:lastModifiedBy>Administrator</cp:lastModifiedBy>
  <dcterms:modified xsi:type="dcterms:W3CDTF">2020-01-19T08:16:49Z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