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adjustRightInd w:val="0"/>
        <w:snapToGrid w:val="0"/>
        <w:spacing w:line="578" w:lineRule="exact"/>
        <w:jc w:val="center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宁波市2019年美丽河湖名单</w:t>
      </w: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（排名不分先后）</w:t>
      </w:r>
    </w:p>
    <w:p>
      <w:pPr>
        <w:spacing w:line="578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bCs/>
          <w:sz w:val="32"/>
          <w:szCs w:val="32"/>
        </w:rPr>
        <w:t>余姚市、江北区、海曙区：</w:t>
      </w:r>
      <w:r>
        <w:rPr>
          <w:rFonts w:hint="eastAsia" w:ascii="仿宋_GB2312" w:hAnsi="仿宋_GB2312" w:eastAsia="仿宋_GB2312"/>
          <w:sz w:val="32"/>
          <w:szCs w:val="32"/>
        </w:rPr>
        <w:t>姚江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 xml:space="preserve">    余姚市：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晓鹿大溪、杏山湖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慈溪市：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上林湖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宁海县：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凫溪、天明湖</w:t>
      </w:r>
    </w:p>
    <w:p>
      <w:pPr>
        <w:spacing w:line="578" w:lineRule="exac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象山县：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管溪、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大徐溪</w:t>
      </w:r>
    </w:p>
    <w:p>
      <w:pPr>
        <w:spacing w:line="578" w:lineRule="exac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海曙区：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西塘河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江北区：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官山河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镇海区：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蝴蝶湖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鄞州区：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甬新河、院士公园河、新杨木碶河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北仑区：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中河、梅山大河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奉化区：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仁湖</w:t>
      </w:r>
    </w:p>
    <w:p>
      <w:pPr>
        <w:spacing w:line="578" w:lineRule="exac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高新区：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汪家河（李家河、朱家河）</w:t>
      </w:r>
    </w:p>
    <w:p>
      <w:bookmarkStart w:id="0" w:name="_GoBack"/>
      <w:bookmarkEnd w:id="0"/>
    </w:p>
    <w:sectPr>
      <w:pgSz w:w="11906" w:h="16838"/>
      <w:pgMar w:top="2097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pStyle w:val="4"/>
      <w:suff w:val="nothing"/>
      <w:lvlText w:val="%1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E17B3"/>
    <w:rsid w:val="2C6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字母编号列项（一级）"/>
    <w:qFormat/>
    <w:uiPriority w:val="0"/>
    <w:pPr>
      <w:numPr>
        <w:ilvl w:val="0"/>
        <w:numId w:val="1"/>
      </w:numPr>
      <w:tabs>
        <w:tab w:val="left" w:pos="840"/>
      </w:tabs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2019-12-19T06:03:00Z</dcterms:created>
  <dc:creator>Administrator</dc:creator>
  <cp:lastModifiedBy>Administrator</cp:lastModifiedBy>
  <dcterms:modified xsi:type="dcterms:W3CDTF">2019-12-19T06:04:22Z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