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宁波舜翔建设工程有限公司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 w:ascii="宋体" w:hAnsi="宋体"/>
          <w:sz w:val="24"/>
        </w:rPr>
        <w:t>企业全资子公司间重组分立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陈家明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410411197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5517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/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/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韩晓萍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4544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浙233131292334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陈锋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330682198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0410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浙233161609891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陈家明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410411197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5517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浙233080942309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管学书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330823197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3737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浙233151700268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景海平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339005197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3617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浙2331515110189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郑陈斌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330124198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2616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浙2331515114308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邹恺杰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6979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浙233171703504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cs="Times New Roman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周亚飞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330282197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8027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浙233171801231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范晓航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330721198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6316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郑陈斌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330124198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2616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景海平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339005197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3617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陈家明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410411197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5517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卢德利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330226195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497X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黄建兵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5055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林利明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5052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管学书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330823197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3737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严建军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0271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杨敏荣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5065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20F457CF"/>
    <w:rsid w:val="2F7D23FC"/>
    <w:rsid w:val="4C821346"/>
    <w:rsid w:val="4DA90594"/>
    <w:rsid w:val="4FFD6EB5"/>
    <w:rsid w:val="548678D8"/>
    <w:rsid w:val="56763A07"/>
    <w:rsid w:val="5BDC0EAB"/>
    <w:rsid w:val="5CD8334A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4"/>
    <w:qFormat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1</TotalTime>
  <ScaleCrop>false</ScaleCrop>
  <LinksUpToDate>false</LinksUpToDate>
  <CharactersWithSpaces>1529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2019-03-12T02:29:10Z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